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56BE" w14:textId="371B937C" w:rsidR="002A423C" w:rsidRDefault="00C64B9F" w:rsidP="002A42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</w:pPr>
      <w:r w:rsidRPr="00C64B9F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Nombre</w:t>
      </w:r>
      <w:r w:rsidR="002A423C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: </w:t>
      </w:r>
    </w:p>
    <w:p w14:paraId="7231D3B8" w14:textId="358F7A80" w:rsidR="00C64B9F" w:rsidRPr="002A423C" w:rsidRDefault="002A423C" w:rsidP="002A423C">
      <w:pPr>
        <w:pStyle w:val="NormalWeb"/>
        <w:spacing w:before="0" w:beforeAutospacing="0" w:after="0" w:afterAutospacing="0"/>
        <w:ind w:left="1815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 w:rsidRPr="002A423C">
        <w:rPr>
          <w:rFonts w:ascii="inherit" w:hAnsi="inherit" w:cs="Times New Roman"/>
          <w:sz w:val="28"/>
          <w:szCs w:val="28"/>
          <w:bdr w:val="none" w:sz="0" w:space="0" w:color="auto" w:frame="1"/>
        </w:rPr>
        <w:t>Jesús López-Rodríguez</w:t>
      </w:r>
    </w:p>
    <w:p w14:paraId="7C943CF7" w14:textId="5828C836" w:rsidR="00C64B9F" w:rsidRDefault="00C64B9F" w:rsidP="002A42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</w:pPr>
      <w:r w:rsidRPr="00C64B9F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Afiliación y posición actual</w:t>
      </w:r>
    </w:p>
    <w:p w14:paraId="2CF89996" w14:textId="2FEC9751" w:rsidR="002A423C" w:rsidRPr="007F09DC" w:rsidRDefault="002A423C" w:rsidP="007F09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proofErr w:type="spellStart"/>
      <w:r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Univer</w:t>
      </w:r>
      <w:r w:rsidR="009B29A7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sidade</w:t>
      </w:r>
      <w:proofErr w:type="spellEnd"/>
      <w:r w:rsidR="009B29A7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da Coruña</w:t>
      </w:r>
      <w:r w:rsidR="00BD34B2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, Facultad de Economía y Empresa (</w:t>
      </w:r>
      <w:proofErr w:type="spellStart"/>
      <w:r w:rsidR="00BD34B2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Dpto.Economía</w:t>
      </w:r>
      <w:proofErr w:type="spellEnd"/>
      <w:r w:rsidR="00BD34B2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)</w:t>
      </w:r>
    </w:p>
    <w:p w14:paraId="6FB4F79E" w14:textId="41B1CBF5" w:rsidR="00BD34B2" w:rsidRPr="007F09DC" w:rsidRDefault="00BD34B2" w:rsidP="007F09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Grupo Jean Monnet de Competencia y Desarrollo Regional en la Unión Europea (</w:t>
      </w:r>
      <w:r w:rsidR="00BC1843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GCD), </w:t>
      </w:r>
      <w:proofErr w:type="spellStart"/>
      <w:r w:rsidR="00BC1843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Universidade</w:t>
      </w:r>
      <w:proofErr w:type="spellEnd"/>
      <w:r w:rsidR="00BC1843"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da Coruña</w:t>
      </w:r>
    </w:p>
    <w:p w14:paraId="2363EBE9" w14:textId="07462992" w:rsidR="00BC1843" w:rsidRDefault="007F09DC" w:rsidP="007F09D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E24286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Economics and Business Administration for Society (ECOBAS)</w:t>
      </w:r>
    </w:p>
    <w:p w14:paraId="222D3E11" w14:textId="0412073E" w:rsidR="00E24286" w:rsidRDefault="00E24286" w:rsidP="00E24286">
      <w:pPr>
        <w:pStyle w:val="NormalWeb"/>
        <w:spacing w:before="0" w:beforeAutospacing="0" w:after="0" w:afterAutospacing="0"/>
        <w:ind w:left="2175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proofErr w:type="spellStart"/>
      <w:r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Catedrático</w:t>
      </w:r>
      <w:proofErr w:type="spellEnd"/>
      <w:r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 Universidad</w:t>
      </w:r>
    </w:p>
    <w:p w14:paraId="576C5ACA" w14:textId="77777777" w:rsidR="004A79E6" w:rsidRPr="00E24286" w:rsidRDefault="004A79E6" w:rsidP="00E24286">
      <w:pPr>
        <w:pStyle w:val="NormalWeb"/>
        <w:spacing w:before="0" w:beforeAutospacing="0" w:after="0" w:afterAutospacing="0"/>
        <w:ind w:left="2175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</w:p>
    <w:p w14:paraId="5DF3CB23" w14:textId="41FAABE5" w:rsidR="00C64B9F" w:rsidRDefault="00C64B9F" w:rsidP="00E2428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</w:pPr>
      <w:r w:rsidRPr="00BD34B2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Historial profesional (5 </w:t>
      </w:r>
      <w:proofErr w:type="spellStart"/>
      <w:r w:rsidRPr="00BD34B2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items</w:t>
      </w:r>
      <w:proofErr w:type="spellEnd"/>
      <w:r w:rsidRPr="00BD34B2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D34B2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max</w:t>
      </w:r>
      <w:proofErr w:type="spellEnd"/>
      <w:r w:rsidRPr="00BD34B2"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.)</w:t>
      </w:r>
    </w:p>
    <w:p w14:paraId="6D647573" w14:textId="77777777" w:rsidR="00E24286" w:rsidRDefault="00E24286" w:rsidP="00E24286">
      <w:pPr>
        <w:pStyle w:val="NormalWeb"/>
        <w:spacing w:before="0" w:beforeAutospacing="0" w:after="0" w:afterAutospacing="0"/>
        <w:ind w:left="1815"/>
      </w:pPr>
    </w:p>
    <w:p w14:paraId="5E486A39" w14:textId="25AC5899" w:rsidR="003E727C" w:rsidRDefault="007B1E97" w:rsidP="005C46B7">
      <w:pPr>
        <w:pStyle w:val="Prrafodelista"/>
        <w:numPr>
          <w:ilvl w:val="0"/>
          <w:numId w:val="3"/>
        </w:numPr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</w:pPr>
      <w:r w:rsidRP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>Senior</w:t>
      </w:r>
      <w:r w:rsidR="000D0864" w:rsidRP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 xml:space="preserve"> Research Fellow</w:t>
      </w:r>
      <w:r w:rsidR="00AA6F64" w:rsidRP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 xml:space="preserve">, </w:t>
      </w:r>
      <w:r w:rsidR="003E727C" w:rsidRP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>Institute for Prospective Technological Studies-Joint Research Center (IPTS-JRC), European Commission (Knowledge for Growth Unit-</w:t>
      </w:r>
      <w:proofErr w:type="spellStart"/>
      <w:r w:rsidR="003E727C" w:rsidRP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>KfG</w:t>
      </w:r>
      <w:proofErr w:type="spellEnd"/>
      <w:r w:rsidR="003E727C" w:rsidRP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>)</w:t>
      </w:r>
      <w:r w:rsidR="005C46B7">
        <w:rPr>
          <w:rFonts w:ascii="inherit" w:hAnsi="inherit" w:cs="Times New Roman"/>
          <w:sz w:val="28"/>
          <w:szCs w:val="28"/>
          <w:bdr w:val="none" w:sz="0" w:space="0" w:color="auto" w:frame="1"/>
          <w:lang w:val="en-GB" w:eastAsia="es-ES"/>
        </w:rPr>
        <w:t xml:space="preserve"> (2013-2014)</w:t>
      </w:r>
    </w:p>
    <w:p w14:paraId="0D18793F" w14:textId="3B1BFA80" w:rsidR="00376B11" w:rsidRDefault="00376B11" w:rsidP="00376B1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Coordinador</w:t>
      </w:r>
      <w:r w:rsidR="00EC0F59">
        <w:rPr>
          <w:rFonts w:ascii="inherit" w:hAnsi="inherit" w:cs="Times New Roman"/>
          <w:sz w:val="28"/>
          <w:szCs w:val="28"/>
          <w:bdr w:val="none" w:sz="0" w:space="0" w:color="auto" w:frame="1"/>
        </w:rPr>
        <w:t>,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</w:t>
      </w:r>
      <w:r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Grupo Jean Monnet de Competencia y Desarrollo Regional en la Unión Europea (GCD), </w:t>
      </w:r>
      <w:proofErr w:type="spellStart"/>
      <w:r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>Universidade</w:t>
      </w:r>
      <w:proofErr w:type="spellEnd"/>
      <w:r w:rsidRPr="007F09DC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da Coruña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(2013-2015)</w:t>
      </w:r>
    </w:p>
    <w:p w14:paraId="1C2FEA77" w14:textId="3B65CE5A" w:rsidR="000A394B" w:rsidRDefault="000A394B" w:rsidP="005C46B7">
      <w:pPr>
        <w:pStyle w:val="Prrafodelista"/>
        <w:numPr>
          <w:ilvl w:val="0"/>
          <w:numId w:val="3"/>
        </w:numPr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</w:pPr>
      <w:r w:rsidRPr="008420C1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Vicepresidente</w:t>
      </w:r>
      <w:r w:rsidR="00EC0F59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,</w:t>
      </w:r>
      <w:r w:rsidR="008420C1" w:rsidRPr="008420C1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 xml:space="preserve"> Asociación Gallega de C</w:t>
      </w:r>
      <w:r w:rsidR="008420C1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iencia Regional (2012-2020)</w:t>
      </w:r>
    </w:p>
    <w:p w14:paraId="45FCEBC3" w14:textId="0E661007" w:rsidR="008420C1" w:rsidRDefault="00380F27" w:rsidP="005C46B7">
      <w:pPr>
        <w:pStyle w:val="Prrafodelista"/>
        <w:numPr>
          <w:ilvl w:val="0"/>
          <w:numId w:val="3"/>
        </w:numPr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Profesor Visitante</w:t>
      </w:r>
      <w:r w:rsidR="00EC0F59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,</w:t>
      </w:r>
      <w:r w:rsidR="00ED4B6F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 xml:space="preserve"> Universidad Autónoma Latinoamericana (UNAULA), </w:t>
      </w:r>
      <w:r w:rsidR="000D766E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(</w:t>
      </w:r>
      <w:r w:rsidR="00ED4B6F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2016-2017</w:t>
      </w:r>
      <w:r w:rsidR="000D766E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)</w:t>
      </w:r>
    </w:p>
    <w:p w14:paraId="3F673A6C" w14:textId="2F089A45" w:rsidR="00264479" w:rsidRPr="008420C1" w:rsidRDefault="00264479" w:rsidP="005C46B7">
      <w:pPr>
        <w:pStyle w:val="Prrafodelista"/>
        <w:numPr>
          <w:ilvl w:val="0"/>
          <w:numId w:val="3"/>
        </w:numPr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Investiga</w:t>
      </w:r>
      <w:r w:rsidR="00424CFE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 xml:space="preserve">dor </w:t>
      </w:r>
      <w:proofErr w:type="gramStart"/>
      <w:r w:rsidR="00424CFE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Visitante</w:t>
      </w:r>
      <w:r w:rsidR="00EC0F59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 xml:space="preserve">, </w:t>
      </w:r>
      <w:r w:rsidR="00424CFE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EC0F59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LEO</w:t>
      </w:r>
      <w:proofErr w:type="gramEnd"/>
      <w:r w:rsidR="00EC0F59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 xml:space="preserve"> Universidad de Orleans (</w:t>
      </w:r>
      <w:r w:rsidR="000D766E">
        <w:rPr>
          <w:rFonts w:ascii="inherit" w:hAnsi="inherit" w:cs="Times New Roman"/>
          <w:sz w:val="28"/>
          <w:szCs w:val="28"/>
          <w:bdr w:val="none" w:sz="0" w:space="0" w:color="auto" w:frame="1"/>
          <w:lang w:eastAsia="es-ES"/>
        </w:rPr>
        <w:t>2022)</w:t>
      </w:r>
    </w:p>
    <w:p w14:paraId="14C9B6E1" w14:textId="1B1FE619" w:rsidR="007B1E97" w:rsidRPr="008420C1" w:rsidRDefault="007B1E97" w:rsidP="00E24286">
      <w:pPr>
        <w:pStyle w:val="NormalWeb"/>
        <w:spacing w:before="0" w:beforeAutospacing="0" w:after="0" w:afterAutospacing="0"/>
        <w:ind w:left="1815"/>
      </w:pPr>
    </w:p>
    <w:p w14:paraId="6CC4DDD8" w14:textId="12A2B5AB" w:rsidR="00C64B9F" w:rsidRDefault="00C64B9F" w:rsidP="000D766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Publicaciones (5 </w:t>
      </w:r>
      <w:proofErr w:type="spellStart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items</w:t>
      </w:r>
      <w:proofErr w:type="spellEnd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max</w:t>
      </w:r>
      <w:proofErr w:type="spellEnd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.)</w:t>
      </w:r>
    </w:p>
    <w:p w14:paraId="333EFDFE" w14:textId="77777777" w:rsidR="000D766E" w:rsidRDefault="000D766E" w:rsidP="000D766E">
      <w:pPr>
        <w:pStyle w:val="NormalWeb"/>
        <w:spacing w:before="0" w:beforeAutospacing="0" w:after="0" w:afterAutospacing="0"/>
        <w:ind w:left="1815"/>
      </w:pPr>
    </w:p>
    <w:p w14:paraId="56DDB43E" w14:textId="54F3BE61" w:rsidR="00960D1B" w:rsidRPr="001B216A" w:rsidRDefault="00960D1B" w:rsidP="001B216A">
      <w:pPr>
        <w:pStyle w:val="NormalWeb"/>
        <w:numPr>
          <w:ilvl w:val="0"/>
          <w:numId w:val="6"/>
        </w:numPr>
        <w:spacing w:after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Lopez-Rodriguez, J.</w:t>
      </w:r>
      <w:r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, </w:t>
      </w:r>
      <w:r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Pociña-Sánchez, B</w:t>
      </w:r>
      <w:r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. and Varela-Candamio, L. (2025):</w:t>
      </w:r>
      <w:r w:rsidR="00816E4C"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 </w:t>
      </w:r>
      <w:r w:rsid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T</w:t>
      </w:r>
      <w:r w:rsidR="001B216A"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axable agglomeration rents across the Spanish Local Labour </w:t>
      </w:r>
      <w:proofErr w:type="gramStart"/>
      <w:r w:rsidR="001B216A" w:rsidRP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Markets</w:t>
      </w:r>
      <w:r w:rsid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,  </w:t>
      </w:r>
      <w:r w:rsidR="001B216A" w:rsidRPr="001B216A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>Journal</w:t>
      </w:r>
      <w:proofErr w:type="gramEnd"/>
      <w:r w:rsidR="001B216A" w:rsidRPr="001B216A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 xml:space="preserve"> of Geographical Systems</w:t>
      </w:r>
      <w:r w:rsid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, </w:t>
      </w:r>
      <w:r w:rsid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forthcoming</w:t>
      </w:r>
      <w:r w:rsidR="001B216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.</w:t>
      </w:r>
    </w:p>
    <w:p w14:paraId="64469B70" w14:textId="3C0C9C4A" w:rsidR="007658BD" w:rsidRPr="00557095" w:rsidRDefault="007658BD" w:rsidP="003D39BD">
      <w:pPr>
        <w:pStyle w:val="NormalWeb"/>
        <w:numPr>
          <w:ilvl w:val="0"/>
          <w:numId w:val="6"/>
        </w:numPr>
        <w:spacing w:after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557095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Garcia Rendon, JJ., Lopez-Rodriguez, J. and Moncada-Mesa (2022): Firm-location, regional weather conditions and bid pricing strategies in Colombian wholesale electricity market, </w:t>
      </w:r>
      <w:r w:rsidRPr="00557095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>Regional Studies</w:t>
      </w:r>
      <w:r w:rsidRPr="00557095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, 56(9): 1554-1570, 2022</w:t>
      </w:r>
    </w:p>
    <w:p w14:paraId="03C60264" w14:textId="4F663067" w:rsidR="007658BD" w:rsidRPr="002840FA" w:rsidRDefault="007658BD" w:rsidP="003D39BD">
      <w:pPr>
        <w:pStyle w:val="NormalWeb"/>
        <w:numPr>
          <w:ilvl w:val="0"/>
          <w:numId w:val="6"/>
        </w:numPr>
        <w:spacing w:after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7658BD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Guerra, A., Varela-Candamio, L. and J. Lopez-Rodriguez (2022). </w:t>
      </w: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“Tax Reforms in Spain: Efficiency Levels and </w:t>
      </w: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lastRenderedPageBreak/>
        <w:t xml:space="preserve">Distributional Patterns”, </w:t>
      </w:r>
      <w:r w:rsidRPr="002840FA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>Economic Systems Research</w:t>
      </w: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, 34(1):41-68</w:t>
      </w:r>
    </w:p>
    <w:p w14:paraId="5E565C9D" w14:textId="4DD2E7DC" w:rsidR="007658BD" w:rsidRPr="002840FA" w:rsidRDefault="007658BD" w:rsidP="003D39BD">
      <w:pPr>
        <w:pStyle w:val="NormalWeb"/>
        <w:numPr>
          <w:ilvl w:val="0"/>
          <w:numId w:val="6"/>
        </w:numPr>
        <w:spacing w:after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7658BD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Faíña, A., López-Rodríguez, J., and P. Montes-Solla, P. (2020). </w:t>
      </w: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“European Union regional policy and development in Spain: Capital Widening and Productivity Stagnation over 1989-2010</w:t>
      </w:r>
      <w:proofErr w:type="gramStart"/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”,  </w:t>
      </w:r>
      <w:r w:rsidRPr="002840FA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>Regional</w:t>
      </w:r>
      <w:proofErr w:type="gramEnd"/>
      <w:r w:rsidRPr="002840FA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 xml:space="preserve"> Studies</w:t>
      </w: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 54(1), pp. 106-119</w:t>
      </w:r>
    </w:p>
    <w:p w14:paraId="322BEC45" w14:textId="2843E8B6" w:rsidR="007658BD" w:rsidRPr="002840FA" w:rsidRDefault="007658BD" w:rsidP="003D39BD">
      <w:pPr>
        <w:pStyle w:val="NormalWeb"/>
        <w:numPr>
          <w:ilvl w:val="0"/>
          <w:numId w:val="6"/>
        </w:numPr>
        <w:spacing w:after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López-Rodríguez, J. </w:t>
      </w:r>
      <w:proofErr w:type="gramStart"/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and  Martínez</w:t>
      </w:r>
      <w:proofErr w:type="gramEnd"/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, D. (2017): “Looking beyond the R&amp;D effects on innovation: The contribution of non-R&amp;D activities to total factor productivity growth in the EU”, </w:t>
      </w:r>
      <w:r w:rsidRPr="002840FA">
        <w:rPr>
          <w:rFonts w:ascii="inherit" w:hAnsi="inherit" w:cs="Times New Roman"/>
          <w:b/>
          <w:bCs/>
          <w:sz w:val="28"/>
          <w:szCs w:val="28"/>
          <w:bdr w:val="none" w:sz="0" w:space="0" w:color="auto" w:frame="1"/>
          <w:lang w:val="en-GB"/>
        </w:rPr>
        <w:t>Structural Change and Economic Dynamics</w:t>
      </w:r>
      <w:r w:rsidRPr="002840FA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, 40: 37-45.</w:t>
      </w:r>
    </w:p>
    <w:p w14:paraId="35E93710" w14:textId="77777777" w:rsidR="00D67E5D" w:rsidRPr="003D39BD" w:rsidRDefault="00D67E5D" w:rsidP="00557095">
      <w:pPr>
        <w:pStyle w:val="NormalWeb"/>
        <w:spacing w:before="0" w:beforeAutospacing="0" w:after="0" w:afterAutospacing="0"/>
        <w:ind w:left="1416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</w:p>
    <w:p w14:paraId="3B9BE30B" w14:textId="77777777" w:rsidR="00D67E5D" w:rsidRPr="003D39BD" w:rsidRDefault="00D67E5D" w:rsidP="00557095">
      <w:pPr>
        <w:pStyle w:val="NormalWeb"/>
        <w:spacing w:before="0" w:beforeAutospacing="0" w:after="0" w:afterAutospacing="0"/>
        <w:ind w:left="1416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</w:p>
    <w:p w14:paraId="577FA965" w14:textId="680EB28F" w:rsidR="00C64B9F" w:rsidRDefault="00C64B9F" w:rsidP="00D67E5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Otros méritos (5 </w:t>
      </w:r>
      <w:proofErr w:type="spellStart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items</w:t>
      </w:r>
      <w:proofErr w:type="spellEnd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max</w:t>
      </w:r>
      <w:proofErr w:type="spellEnd"/>
      <w:r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  <w:t>.)</w:t>
      </w:r>
    </w:p>
    <w:p w14:paraId="54700222" w14:textId="77777777" w:rsidR="00D67E5D" w:rsidRDefault="00D67E5D" w:rsidP="00D67E5D">
      <w:pPr>
        <w:pStyle w:val="NormalWeb"/>
        <w:spacing w:before="0" w:beforeAutospacing="0" w:after="0" w:afterAutospacing="0"/>
        <w:rPr>
          <w:rFonts w:ascii="inherit" w:hAnsi="inherit" w:cs="Times New Roman"/>
          <w:i/>
          <w:iCs/>
          <w:color w:val="0080FF"/>
          <w:sz w:val="28"/>
          <w:szCs w:val="28"/>
          <w:bdr w:val="none" w:sz="0" w:space="0" w:color="auto" w:frame="1"/>
        </w:rPr>
      </w:pPr>
    </w:p>
    <w:p w14:paraId="2A9B7CAD" w14:textId="446CFB05" w:rsidR="00D67E5D" w:rsidRDefault="00E71471" w:rsidP="00BD64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S</w:t>
      </w:r>
      <w:r w:rsidR="00F862B1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>exenios de investigación</w:t>
      </w:r>
      <w:r w:rsidR="00743086">
        <w:rPr>
          <w:rFonts w:ascii="inherit" w:hAnsi="inherit" w:cs="Times New Roman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3</w:t>
      </w:r>
      <w:r w:rsidR="00391D3A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</w:t>
      </w:r>
      <w:r w:rsidR="00743086">
        <w:rPr>
          <w:rFonts w:ascii="inherit" w:hAnsi="inherit" w:cs="Times New Roman"/>
          <w:sz w:val="28"/>
          <w:szCs w:val="28"/>
          <w:bdr w:val="none" w:sz="0" w:space="0" w:color="auto" w:frame="1"/>
        </w:rPr>
        <w:t>(</w:t>
      </w:r>
      <w:r w:rsidR="00391D3A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>2000-2006/2007-2012/2013-2018</w:t>
      </w:r>
      <w:r w:rsidR="00743086">
        <w:rPr>
          <w:rFonts w:ascii="inherit" w:hAnsi="inherit" w:cs="Times New Roman"/>
          <w:sz w:val="28"/>
          <w:szCs w:val="28"/>
          <w:bdr w:val="none" w:sz="0" w:space="0" w:color="auto" w:frame="1"/>
        </w:rPr>
        <w:t>)</w:t>
      </w:r>
      <w:r w:rsidR="00F862B1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y 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S</w:t>
      </w:r>
      <w:r w:rsidR="00F862B1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>exenio de transferencia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: 1</w:t>
      </w:r>
      <w:r w:rsidR="00F862B1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</w:t>
      </w:r>
      <w:r w:rsidR="00391D3A" w:rsidRPr="00391D3A">
        <w:rPr>
          <w:rFonts w:ascii="inherit" w:hAnsi="inherit" w:cs="Times New Roman"/>
          <w:sz w:val="28"/>
          <w:szCs w:val="28"/>
          <w:bdr w:val="none" w:sz="0" w:space="0" w:color="auto" w:frame="1"/>
        </w:rPr>
        <w:t>(1998-2006)</w:t>
      </w:r>
    </w:p>
    <w:p w14:paraId="7C75F981" w14:textId="6B677BFE" w:rsidR="00743086" w:rsidRDefault="003F5B2C" w:rsidP="00391D3A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Tesis dirigidas</w:t>
      </w:r>
      <w:r w:rsidR="00E71471">
        <w:rPr>
          <w:rFonts w:ascii="inherit" w:hAnsi="inherit" w:cs="Times New Roman"/>
          <w:sz w:val="28"/>
          <w:szCs w:val="28"/>
          <w:bdr w:val="none" w:sz="0" w:space="0" w:color="auto" w:frame="1"/>
        </w:rPr>
        <w:t>: 10</w:t>
      </w:r>
    </w:p>
    <w:p w14:paraId="221DCD4B" w14:textId="2266847B" w:rsidR="00723C89" w:rsidRDefault="00DA7C13" w:rsidP="00BD64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E</w:t>
      </w:r>
      <w:r w:rsidR="00723C89">
        <w:rPr>
          <w:rFonts w:ascii="inherit" w:hAnsi="inherit" w:cs="Times New Roman"/>
          <w:sz w:val="28"/>
          <w:szCs w:val="28"/>
          <w:bdr w:val="none" w:sz="0" w:space="0" w:color="auto" w:frame="1"/>
        </w:rPr>
        <w:t>stancia</w:t>
      </w:r>
      <w:r w:rsidR="00582362">
        <w:rPr>
          <w:rFonts w:ascii="inherit" w:hAnsi="inherit" w:cs="Times New Roman"/>
          <w:sz w:val="28"/>
          <w:szCs w:val="28"/>
          <w:bdr w:val="none" w:sz="0" w:space="0" w:color="auto" w:frame="1"/>
        </w:rPr>
        <w:t>s</w:t>
      </w:r>
      <w:r w:rsidR="00723C89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de </w:t>
      </w:r>
      <w:r w:rsidR="00582362">
        <w:rPr>
          <w:rFonts w:ascii="inherit" w:hAnsi="inherit" w:cs="Times New Roman"/>
          <w:sz w:val="28"/>
          <w:szCs w:val="28"/>
          <w:bdr w:val="none" w:sz="0" w:space="0" w:color="auto" w:frame="1"/>
        </w:rPr>
        <w:t>investigación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:</w:t>
      </w:r>
      <w:r w:rsidR="00582362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Harvard </w:t>
      </w:r>
      <w:proofErr w:type="spellStart"/>
      <w:r w:rsidR="00582362">
        <w:rPr>
          <w:rFonts w:ascii="inherit" w:hAnsi="inherit" w:cs="Times New Roman"/>
          <w:sz w:val="28"/>
          <w:szCs w:val="28"/>
          <w:bdr w:val="none" w:sz="0" w:space="0" w:color="auto" w:frame="1"/>
        </w:rPr>
        <w:t>University</w:t>
      </w:r>
      <w:proofErr w:type="spellEnd"/>
      <w:r w:rsidR="000B3F7D">
        <w:rPr>
          <w:rFonts w:ascii="inherit" w:hAnsi="inherit" w:cs="Times New Roman"/>
          <w:sz w:val="28"/>
          <w:szCs w:val="28"/>
          <w:bdr w:val="none" w:sz="0" w:space="0" w:color="auto" w:frame="1"/>
        </w:rPr>
        <w:t>-Departamento de Economía</w:t>
      </w:r>
      <w:r w:rsidR="00582362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(200</w:t>
      </w:r>
      <w:r w:rsidR="004C4FE2">
        <w:rPr>
          <w:rFonts w:ascii="inherit" w:hAnsi="inherit" w:cs="Times New Roman"/>
          <w:sz w:val="28"/>
          <w:szCs w:val="28"/>
          <w:bdr w:val="none" w:sz="0" w:space="0" w:color="auto" w:frame="1"/>
        </w:rPr>
        <w:t>7</w:t>
      </w:r>
      <w:r w:rsidR="00582362">
        <w:rPr>
          <w:rFonts w:ascii="inherit" w:hAnsi="inherit" w:cs="Times New Roman"/>
          <w:sz w:val="28"/>
          <w:szCs w:val="28"/>
          <w:bdr w:val="none" w:sz="0" w:space="0" w:color="auto" w:frame="1"/>
        </w:rPr>
        <w:t>-200</w:t>
      </w:r>
      <w:r w:rsidR="004C4FE2">
        <w:rPr>
          <w:rFonts w:ascii="inherit" w:hAnsi="inherit" w:cs="Times New Roman"/>
          <w:sz w:val="28"/>
          <w:szCs w:val="28"/>
          <w:bdr w:val="none" w:sz="0" w:space="0" w:color="auto" w:frame="1"/>
        </w:rPr>
        <w:t>8</w:t>
      </w:r>
      <w:r w:rsidR="000B3F7D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, </w:t>
      </w:r>
      <w:r w:rsidR="004C4FE2">
        <w:rPr>
          <w:rFonts w:ascii="inherit" w:hAnsi="inherit" w:cs="Times New Roman"/>
          <w:sz w:val="28"/>
          <w:szCs w:val="28"/>
          <w:bdr w:val="none" w:sz="0" w:space="0" w:color="auto" w:frame="1"/>
        </w:rPr>
        <w:t>Beca Salvador de Madariaga</w:t>
      </w:r>
      <w:r w:rsidR="00285A9B">
        <w:rPr>
          <w:rFonts w:ascii="inherit" w:hAnsi="inherit" w:cs="Times New Roman"/>
          <w:sz w:val="28"/>
          <w:szCs w:val="28"/>
          <w:bdr w:val="none" w:sz="0" w:space="0" w:color="auto" w:frame="1"/>
        </w:rPr>
        <w:t>, 12 meses</w:t>
      </w:r>
      <w:r w:rsidR="00341B14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) y </w:t>
      </w:r>
      <w:r w:rsidR="000B3F7D">
        <w:rPr>
          <w:rFonts w:ascii="inherit" w:hAnsi="inherit" w:cs="Times New Roman"/>
          <w:sz w:val="28"/>
          <w:szCs w:val="28"/>
          <w:bdr w:val="none" w:sz="0" w:space="0" w:color="auto" w:frame="1"/>
        </w:rPr>
        <w:t>2012</w:t>
      </w:r>
      <w:r w:rsidR="00285A9B">
        <w:rPr>
          <w:rFonts w:ascii="inherit" w:hAnsi="inherit" w:cs="Times New Roman"/>
          <w:sz w:val="28"/>
          <w:szCs w:val="28"/>
          <w:bdr w:val="none" w:sz="0" w:space="0" w:color="auto" w:frame="1"/>
        </w:rPr>
        <w:t>, 6 meses</w:t>
      </w:r>
      <w:r w:rsidR="00796DFB">
        <w:rPr>
          <w:rFonts w:ascii="inherit" w:hAnsi="inherit" w:cs="Times New Roman"/>
          <w:sz w:val="28"/>
          <w:szCs w:val="28"/>
          <w:bdr w:val="none" w:sz="0" w:space="0" w:color="auto" w:frame="1"/>
        </w:rPr>
        <w:t>)</w:t>
      </w:r>
      <w:r w:rsidR="00E71471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; </w:t>
      </w:r>
      <w:r w:rsidR="00285A9B">
        <w:rPr>
          <w:rFonts w:ascii="inherit" w:hAnsi="inherit" w:cs="Times New Roman"/>
          <w:sz w:val="28"/>
          <w:szCs w:val="28"/>
          <w:bdr w:val="none" w:sz="0" w:space="0" w:color="auto" w:frame="1"/>
        </w:rPr>
        <w:t>LSE (</w:t>
      </w:r>
      <w:r w:rsidR="00E825B4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2004, 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>D</w:t>
      </w:r>
      <w:r w:rsidR="00E825B4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epartamento 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>E</w:t>
      </w:r>
      <w:r w:rsidR="00E825B4">
        <w:rPr>
          <w:rFonts w:ascii="inherit" w:hAnsi="inherit" w:cs="Times New Roman"/>
          <w:sz w:val="28"/>
          <w:szCs w:val="28"/>
          <w:bdr w:val="none" w:sz="0" w:space="0" w:color="auto" w:frame="1"/>
        </w:rPr>
        <w:t>conomía, 12 meses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>)</w:t>
      </w:r>
      <w:r w:rsidR="00E71471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; </w:t>
      </w: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LSE </w:t>
      </w:r>
      <w:r w:rsidR="00E71471">
        <w:rPr>
          <w:rFonts w:ascii="inherit" w:hAnsi="inherit" w:cs="Times New Roman"/>
          <w:sz w:val="28"/>
          <w:szCs w:val="28"/>
          <w:bdr w:val="none" w:sz="0" w:space="0" w:color="auto" w:frame="1"/>
        </w:rPr>
        <w:t>(</w:t>
      </w:r>
      <w:r w:rsidR="00E825B4">
        <w:rPr>
          <w:rFonts w:ascii="inherit" w:hAnsi="inherit" w:cs="Times New Roman"/>
          <w:sz w:val="28"/>
          <w:szCs w:val="28"/>
          <w:bdr w:val="none" w:sz="0" w:space="0" w:color="auto" w:frame="1"/>
        </w:rPr>
        <w:t>2005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, </w:t>
      </w:r>
      <w:r w:rsidR="00BD6428">
        <w:rPr>
          <w:rFonts w:ascii="inherit" w:hAnsi="inherit" w:cs="Times New Roman"/>
          <w:sz w:val="28"/>
          <w:szCs w:val="28"/>
          <w:bdr w:val="none" w:sz="0" w:space="0" w:color="auto" w:frame="1"/>
        </w:rPr>
        <w:t>D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epartamento </w:t>
      </w:r>
      <w:r w:rsidR="00BD6428">
        <w:rPr>
          <w:rFonts w:ascii="inherit" w:hAnsi="inherit" w:cs="Times New Roman"/>
          <w:sz w:val="28"/>
          <w:szCs w:val="28"/>
          <w:bdr w:val="none" w:sz="0" w:space="0" w:color="auto" w:frame="1"/>
        </w:rPr>
        <w:t>G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eografía y </w:t>
      </w:r>
      <w:r w:rsidR="00BD6428">
        <w:rPr>
          <w:rFonts w:ascii="inherit" w:hAnsi="inherit" w:cs="Times New Roman"/>
          <w:sz w:val="28"/>
          <w:szCs w:val="28"/>
          <w:bdr w:val="none" w:sz="0" w:space="0" w:color="auto" w:frame="1"/>
        </w:rPr>
        <w:t>M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edio </w:t>
      </w:r>
      <w:r w:rsidR="00BD6428">
        <w:rPr>
          <w:rFonts w:ascii="inherit" w:hAnsi="inherit" w:cs="Times New Roman"/>
          <w:sz w:val="28"/>
          <w:szCs w:val="28"/>
          <w:bdr w:val="none" w:sz="0" w:space="0" w:color="auto" w:frame="1"/>
        </w:rPr>
        <w:t>A</w:t>
      </w:r>
      <w:r w:rsidR="00337D0E">
        <w:rPr>
          <w:rFonts w:ascii="inherit" w:hAnsi="inherit" w:cs="Times New Roman"/>
          <w:sz w:val="28"/>
          <w:szCs w:val="28"/>
          <w:bdr w:val="none" w:sz="0" w:space="0" w:color="auto" w:frame="1"/>
        </w:rPr>
        <w:t>mbiente, 6 meses)</w:t>
      </w:r>
    </w:p>
    <w:p w14:paraId="4D4C32D0" w14:textId="441B3256" w:rsidR="006231BA" w:rsidRDefault="00FB1F1C" w:rsidP="00BD64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</w:rPr>
      </w:pPr>
      <w:r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Contratos de </w:t>
      </w:r>
      <w:r w:rsidR="00182639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transferencia (art. 83): </w:t>
      </w:r>
      <w:r w:rsidR="00D20C6D">
        <w:rPr>
          <w:rFonts w:ascii="inherit" w:hAnsi="inherit" w:cs="Times New Roman"/>
          <w:sz w:val="28"/>
          <w:szCs w:val="28"/>
          <w:bdr w:val="none" w:sz="0" w:space="0" w:color="auto" w:frame="1"/>
        </w:rPr>
        <w:t>Comisión Europea</w:t>
      </w:r>
      <w:r w:rsidR="00811384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(DG Regio), </w:t>
      </w:r>
      <w:r w:rsidR="00822DCE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Tribunal Gallego Defensa Competencia, </w:t>
      </w:r>
      <w:r w:rsidR="00696C29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Agencia Gallega de </w:t>
      </w:r>
      <w:r w:rsidR="002E4F22">
        <w:rPr>
          <w:rFonts w:ascii="inherit" w:hAnsi="inherit" w:cs="Times New Roman"/>
          <w:sz w:val="28"/>
          <w:szCs w:val="28"/>
          <w:bdr w:val="none" w:sz="0" w:space="0" w:color="auto" w:frame="1"/>
        </w:rPr>
        <w:t>Innovación (GAIN)</w:t>
      </w:r>
      <w:r w:rsidR="00696C29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, </w:t>
      </w:r>
      <w:r w:rsidR="00C871F6">
        <w:rPr>
          <w:rFonts w:ascii="inherit" w:hAnsi="inherit" w:cs="Times New Roman"/>
          <w:sz w:val="28"/>
          <w:szCs w:val="28"/>
          <w:bdr w:val="none" w:sz="0" w:space="0" w:color="auto" w:frame="1"/>
        </w:rPr>
        <w:t>Agencia para la modernización tecnológica de Galicia (AMTEGA)</w:t>
      </w:r>
      <w:r w:rsidR="002A62FA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, </w:t>
      </w:r>
      <w:r w:rsidR="00B82CB0">
        <w:rPr>
          <w:rFonts w:ascii="inherit" w:hAnsi="inherit" w:cs="Times New Roman"/>
          <w:sz w:val="28"/>
          <w:szCs w:val="28"/>
          <w:bdr w:val="none" w:sz="0" w:space="0" w:color="auto" w:frame="1"/>
        </w:rPr>
        <w:t>Instituto de Estudios Fiscales (</w:t>
      </w:r>
      <w:r w:rsidR="005645E1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IEF), </w:t>
      </w:r>
      <w:r w:rsidR="002A62FA">
        <w:rPr>
          <w:rFonts w:ascii="inherit" w:hAnsi="inherit" w:cs="Times New Roman"/>
          <w:sz w:val="28"/>
          <w:szCs w:val="28"/>
          <w:bdr w:val="none" w:sz="0" w:space="0" w:color="auto" w:frame="1"/>
        </w:rPr>
        <w:t>Gobierno Vasco</w:t>
      </w:r>
      <w:r w:rsidR="000E7A0C">
        <w:rPr>
          <w:rFonts w:ascii="inherit" w:hAnsi="inherit" w:cs="Times New Roman"/>
          <w:sz w:val="28"/>
          <w:szCs w:val="28"/>
          <w:bdr w:val="none" w:sz="0" w:space="0" w:color="auto" w:frame="1"/>
        </w:rPr>
        <w:t>, Xunta de Galicia…</w:t>
      </w:r>
    </w:p>
    <w:p w14:paraId="727FCF11" w14:textId="1A4B3DDA" w:rsidR="000574B5" w:rsidRPr="009813EE" w:rsidRDefault="00F30841" w:rsidP="00BD64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</w:pPr>
      <w:r w:rsidRPr="009813EE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Keynote Speaker: ICABE</w:t>
      </w:r>
      <w:r w:rsidR="009813EE" w:rsidRPr="009813EE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 xml:space="preserve"> Conference, T</w:t>
      </w:r>
      <w:r w:rsidR="009813EE">
        <w:rPr>
          <w:rFonts w:ascii="inherit" w:hAnsi="inherit" w:cs="Times New Roman"/>
          <w:sz w:val="28"/>
          <w:szCs w:val="28"/>
          <w:bdr w:val="none" w:sz="0" w:space="0" w:color="auto" w:frame="1"/>
          <w:lang w:val="en-GB"/>
        </w:rPr>
        <w:t>IMTED conference</w:t>
      </w:r>
    </w:p>
    <w:p w14:paraId="522667FA" w14:textId="77777777" w:rsidR="00C3174F" w:rsidRPr="009813EE" w:rsidRDefault="00C3174F">
      <w:pPr>
        <w:rPr>
          <w:lang w:val="en-GB"/>
        </w:rPr>
      </w:pPr>
    </w:p>
    <w:sectPr w:rsidR="00C3174F" w:rsidRPr="009813EE" w:rsidSect="006D1F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D4C"/>
    <w:multiLevelType w:val="hybridMultilevel"/>
    <w:tmpl w:val="4D8A3D88"/>
    <w:lvl w:ilvl="0" w:tplc="B1905848">
      <w:start w:val="1"/>
      <w:numFmt w:val="decimal"/>
      <w:lvlText w:val="%1."/>
      <w:lvlJc w:val="left"/>
      <w:pPr>
        <w:ind w:left="1776" w:hanging="360"/>
      </w:pPr>
      <w:rPr>
        <w:rFonts w:ascii="inherit" w:hAnsi="inherit" w:cs="Times New Roman" w:hint="default"/>
        <w:i/>
        <w:color w:val="0080FF"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F56DEF"/>
    <w:multiLevelType w:val="hybridMultilevel"/>
    <w:tmpl w:val="7092ED8E"/>
    <w:lvl w:ilvl="0" w:tplc="F5AEA786">
      <w:start w:val="1"/>
      <w:numFmt w:val="upperRoman"/>
      <w:lvlText w:val="%1."/>
      <w:lvlJc w:val="left"/>
      <w:pPr>
        <w:ind w:left="181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971A1C"/>
    <w:multiLevelType w:val="hybridMultilevel"/>
    <w:tmpl w:val="8898AF70"/>
    <w:lvl w:ilvl="0" w:tplc="E482E7E2">
      <w:start w:val="1"/>
      <w:numFmt w:val="lowerLetter"/>
      <w:lvlText w:val="%1)"/>
      <w:lvlJc w:val="left"/>
      <w:pPr>
        <w:ind w:left="21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95" w:hanging="360"/>
      </w:pPr>
    </w:lvl>
    <w:lvl w:ilvl="2" w:tplc="0C0A001B" w:tentative="1">
      <w:start w:val="1"/>
      <w:numFmt w:val="lowerRoman"/>
      <w:lvlText w:val="%3."/>
      <w:lvlJc w:val="right"/>
      <w:pPr>
        <w:ind w:left="3615" w:hanging="180"/>
      </w:pPr>
    </w:lvl>
    <w:lvl w:ilvl="3" w:tplc="0C0A000F" w:tentative="1">
      <w:start w:val="1"/>
      <w:numFmt w:val="decimal"/>
      <w:lvlText w:val="%4."/>
      <w:lvlJc w:val="left"/>
      <w:pPr>
        <w:ind w:left="4335" w:hanging="360"/>
      </w:pPr>
    </w:lvl>
    <w:lvl w:ilvl="4" w:tplc="0C0A0019" w:tentative="1">
      <w:start w:val="1"/>
      <w:numFmt w:val="lowerLetter"/>
      <w:lvlText w:val="%5."/>
      <w:lvlJc w:val="left"/>
      <w:pPr>
        <w:ind w:left="5055" w:hanging="360"/>
      </w:pPr>
    </w:lvl>
    <w:lvl w:ilvl="5" w:tplc="0C0A001B" w:tentative="1">
      <w:start w:val="1"/>
      <w:numFmt w:val="lowerRoman"/>
      <w:lvlText w:val="%6."/>
      <w:lvlJc w:val="right"/>
      <w:pPr>
        <w:ind w:left="5775" w:hanging="180"/>
      </w:pPr>
    </w:lvl>
    <w:lvl w:ilvl="6" w:tplc="0C0A000F" w:tentative="1">
      <w:start w:val="1"/>
      <w:numFmt w:val="decimal"/>
      <w:lvlText w:val="%7."/>
      <w:lvlJc w:val="left"/>
      <w:pPr>
        <w:ind w:left="6495" w:hanging="360"/>
      </w:pPr>
    </w:lvl>
    <w:lvl w:ilvl="7" w:tplc="0C0A0019" w:tentative="1">
      <w:start w:val="1"/>
      <w:numFmt w:val="lowerLetter"/>
      <w:lvlText w:val="%8."/>
      <w:lvlJc w:val="left"/>
      <w:pPr>
        <w:ind w:left="7215" w:hanging="360"/>
      </w:pPr>
    </w:lvl>
    <w:lvl w:ilvl="8" w:tplc="0C0A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 w15:restartNumberingAfterBreak="0">
    <w:nsid w:val="6A31168E"/>
    <w:multiLevelType w:val="hybridMultilevel"/>
    <w:tmpl w:val="32D0E008"/>
    <w:lvl w:ilvl="0" w:tplc="A81229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D854B45"/>
    <w:multiLevelType w:val="hybridMultilevel"/>
    <w:tmpl w:val="123042B6"/>
    <w:lvl w:ilvl="0" w:tplc="A81229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5C43180"/>
    <w:multiLevelType w:val="hybridMultilevel"/>
    <w:tmpl w:val="E5883ADC"/>
    <w:lvl w:ilvl="0" w:tplc="1A68723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7EA60CB9"/>
    <w:multiLevelType w:val="hybridMultilevel"/>
    <w:tmpl w:val="35D80FF4"/>
    <w:lvl w:ilvl="0" w:tplc="581212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9F"/>
    <w:rsid w:val="000574B5"/>
    <w:rsid w:val="000912CB"/>
    <w:rsid w:val="000A394B"/>
    <w:rsid w:val="000B3F7D"/>
    <w:rsid w:val="000D0864"/>
    <w:rsid w:val="000D766E"/>
    <w:rsid w:val="000E7A0C"/>
    <w:rsid w:val="00182639"/>
    <w:rsid w:val="00187DC9"/>
    <w:rsid w:val="001B216A"/>
    <w:rsid w:val="00264479"/>
    <w:rsid w:val="002840FA"/>
    <w:rsid w:val="00285A9B"/>
    <w:rsid w:val="002A423C"/>
    <w:rsid w:val="002A62FA"/>
    <w:rsid w:val="002E4F22"/>
    <w:rsid w:val="00337D0E"/>
    <w:rsid w:val="00341B14"/>
    <w:rsid w:val="0035327A"/>
    <w:rsid w:val="00376B11"/>
    <w:rsid w:val="00380F27"/>
    <w:rsid w:val="00391D3A"/>
    <w:rsid w:val="003D39BD"/>
    <w:rsid w:val="003E727C"/>
    <w:rsid w:val="003F1040"/>
    <w:rsid w:val="003F5B2C"/>
    <w:rsid w:val="0041123A"/>
    <w:rsid w:val="00424CFE"/>
    <w:rsid w:val="004A79E6"/>
    <w:rsid w:val="004C4FE2"/>
    <w:rsid w:val="00557095"/>
    <w:rsid w:val="005645E1"/>
    <w:rsid w:val="00582362"/>
    <w:rsid w:val="005C46B7"/>
    <w:rsid w:val="006231BA"/>
    <w:rsid w:val="00664330"/>
    <w:rsid w:val="00696C29"/>
    <w:rsid w:val="006D1F61"/>
    <w:rsid w:val="00723C89"/>
    <w:rsid w:val="00743086"/>
    <w:rsid w:val="007658BD"/>
    <w:rsid w:val="00796DFB"/>
    <w:rsid w:val="007A5A44"/>
    <w:rsid w:val="007B1E97"/>
    <w:rsid w:val="007F09DC"/>
    <w:rsid w:val="00811384"/>
    <w:rsid w:val="00816E4C"/>
    <w:rsid w:val="00822DCE"/>
    <w:rsid w:val="008420C1"/>
    <w:rsid w:val="00960D1B"/>
    <w:rsid w:val="009813EE"/>
    <w:rsid w:val="0098375B"/>
    <w:rsid w:val="009B29A7"/>
    <w:rsid w:val="00A76416"/>
    <w:rsid w:val="00AA6F64"/>
    <w:rsid w:val="00B82CB0"/>
    <w:rsid w:val="00BC1843"/>
    <w:rsid w:val="00BD34B2"/>
    <w:rsid w:val="00BD6428"/>
    <w:rsid w:val="00C3174F"/>
    <w:rsid w:val="00C45DB7"/>
    <w:rsid w:val="00C64B9F"/>
    <w:rsid w:val="00C871F6"/>
    <w:rsid w:val="00D20C6D"/>
    <w:rsid w:val="00D533F5"/>
    <w:rsid w:val="00D67E5D"/>
    <w:rsid w:val="00DA7C13"/>
    <w:rsid w:val="00E24286"/>
    <w:rsid w:val="00E71471"/>
    <w:rsid w:val="00E825B4"/>
    <w:rsid w:val="00EC0F59"/>
    <w:rsid w:val="00ED4B6F"/>
    <w:rsid w:val="00F30841"/>
    <w:rsid w:val="00F862B1"/>
    <w:rsid w:val="00F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1B4F"/>
  <w15:chartTrackingRefBased/>
  <w15:docId w15:val="{7E5FFB0C-C79A-4514-BD8C-C6A1CF0F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B9F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styleId="Prrafodelista">
    <w:name w:val="List Paragraph"/>
    <w:basedOn w:val="Normal"/>
    <w:uiPriority w:val="34"/>
    <w:qFormat/>
    <w:rsid w:val="005C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Rodríguez</dc:creator>
  <cp:keywords/>
  <dc:description/>
  <cp:lastModifiedBy>Jesús López Rodríguez</cp:lastModifiedBy>
  <cp:revision>2</cp:revision>
  <dcterms:created xsi:type="dcterms:W3CDTF">2025-05-09T14:53:00Z</dcterms:created>
  <dcterms:modified xsi:type="dcterms:W3CDTF">2025-05-09T14:53:00Z</dcterms:modified>
</cp:coreProperties>
</file>